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F1" w:rsidRPr="000861F1" w:rsidRDefault="000861F1" w:rsidP="000861F1">
      <w:pPr>
        <w:widowControl/>
        <w:autoSpaceDE w:val="0"/>
        <w:autoSpaceDN w:val="0"/>
        <w:adjustRightInd w:val="0"/>
        <w:spacing w:line="504" w:lineRule="exact"/>
        <w:jc w:val="center"/>
        <w:rPr>
          <w:rFonts w:ascii="標楷體" w:eastAsia="標楷體"/>
          <w:color w:val="000000"/>
          <w:kern w:val="0"/>
          <w:sz w:val="48"/>
          <w:szCs w:val="24"/>
        </w:rPr>
      </w:pPr>
      <w:r w:rsidRPr="000861F1">
        <w:rPr>
          <w:rFonts w:ascii="標楷體" w:eastAsia="標楷體" w:hint="eastAsia"/>
          <w:b/>
          <w:bCs/>
          <w:color w:val="000000"/>
          <w:kern w:val="0"/>
          <w:sz w:val="48"/>
          <w:szCs w:val="40"/>
        </w:rPr>
        <w:t>處理違反社會秩序維護法案件編製說明</w:t>
      </w:r>
    </w:p>
    <w:p w:rsidR="000861F1" w:rsidRPr="000861F1" w:rsidRDefault="000861F1" w:rsidP="000861F1">
      <w:pPr>
        <w:widowControl/>
        <w:autoSpaceDE w:val="0"/>
        <w:autoSpaceDN w:val="0"/>
        <w:adjustRightInd w:val="0"/>
        <w:rPr>
          <w:rFonts w:ascii="標楷體" w:eastAsia="標楷體"/>
          <w:color w:val="000000"/>
          <w:kern w:val="0"/>
          <w:szCs w:val="24"/>
        </w:rPr>
      </w:pPr>
    </w:p>
    <w:p w:rsidR="000861F1" w:rsidRPr="000861F1" w:rsidRDefault="000861F1" w:rsidP="000861F1">
      <w:pPr>
        <w:widowControl/>
        <w:autoSpaceDE w:val="0"/>
        <w:autoSpaceDN w:val="0"/>
        <w:adjustRightInd w:val="0"/>
        <w:spacing w:line="380" w:lineRule="exact"/>
        <w:ind w:left="3168" w:hanging="3168"/>
        <w:rPr>
          <w:rFonts w:ascii="標楷體" w:eastAsia="標楷體"/>
          <w:color w:val="000000"/>
          <w:kern w:val="0"/>
          <w:sz w:val="32"/>
          <w:szCs w:val="32"/>
        </w:rPr>
      </w:pPr>
      <w:r w:rsidRPr="000861F1">
        <w:rPr>
          <w:rFonts w:ascii="標楷體" w:eastAsia="標楷體" w:hint="eastAsia"/>
          <w:color w:val="000000"/>
          <w:kern w:val="0"/>
          <w:sz w:val="32"/>
          <w:szCs w:val="32"/>
        </w:rPr>
        <w:t>一、統計範圍及對象：本機關所處理違反「社會秩序維護法」之人、</w:t>
      </w:r>
      <w:proofErr w:type="gramStart"/>
      <w:r w:rsidRPr="000861F1">
        <w:rPr>
          <w:rFonts w:ascii="標楷體" w:eastAsia="標楷體" w:hint="eastAsia"/>
          <w:color w:val="000000"/>
          <w:kern w:val="0"/>
          <w:sz w:val="32"/>
          <w:szCs w:val="32"/>
        </w:rPr>
        <w:t>事均為統計</w:t>
      </w:r>
      <w:proofErr w:type="gramEnd"/>
      <w:r w:rsidRPr="000861F1">
        <w:rPr>
          <w:rFonts w:ascii="標楷體" w:eastAsia="標楷體" w:hint="eastAsia"/>
          <w:color w:val="000000"/>
          <w:kern w:val="0"/>
          <w:sz w:val="32"/>
          <w:szCs w:val="32"/>
        </w:rPr>
        <w:t>範圍及對象。</w:t>
      </w:r>
    </w:p>
    <w:p w:rsidR="000861F1" w:rsidRPr="000861F1" w:rsidRDefault="000861F1" w:rsidP="000861F1">
      <w:pPr>
        <w:widowControl/>
        <w:autoSpaceDE w:val="0"/>
        <w:autoSpaceDN w:val="0"/>
        <w:adjustRightInd w:val="0"/>
        <w:spacing w:line="380" w:lineRule="exact"/>
        <w:rPr>
          <w:rFonts w:ascii="標楷體" w:eastAsia="標楷體"/>
          <w:color w:val="000000"/>
          <w:kern w:val="0"/>
          <w:szCs w:val="24"/>
        </w:rPr>
      </w:pPr>
      <w:r w:rsidRPr="000861F1">
        <w:rPr>
          <w:rFonts w:ascii="標楷體" w:eastAsia="標楷體" w:hint="eastAsia"/>
          <w:color w:val="000000"/>
          <w:kern w:val="0"/>
          <w:sz w:val="32"/>
          <w:szCs w:val="32"/>
        </w:rPr>
        <w:t>二、統計標準時間：以每月一日至月底所發生之事實為</w:t>
      </w:r>
      <w:proofErr w:type="gramStart"/>
      <w:r w:rsidRPr="000861F1">
        <w:rPr>
          <w:rFonts w:ascii="標楷體" w:eastAsia="標楷體" w:hint="eastAsia"/>
          <w:color w:val="000000"/>
          <w:kern w:val="0"/>
          <w:sz w:val="32"/>
          <w:szCs w:val="32"/>
        </w:rPr>
        <w:t>準</w:t>
      </w:r>
      <w:proofErr w:type="gramEnd"/>
      <w:r w:rsidRPr="000861F1">
        <w:rPr>
          <w:rFonts w:ascii="標楷體" w:eastAsia="標楷體" w:hint="eastAsia"/>
          <w:color w:val="000000"/>
          <w:kern w:val="0"/>
          <w:sz w:val="32"/>
          <w:szCs w:val="32"/>
        </w:rPr>
        <w:t>。</w:t>
      </w:r>
      <w:r w:rsidRPr="000861F1">
        <w:rPr>
          <w:rFonts w:ascii="標楷體" w:eastAsia="標楷體"/>
          <w:color w:val="000000"/>
          <w:kern w:val="0"/>
          <w:sz w:val="32"/>
          <w:szCs w:val="32"/>
        </w:rPr>
        <w:t xml:space="preserve"> </w:t>
      </w:r>
    </w:p>
    <w:p w:rsidR="000861F1" w:rsidRPr="000861F1" w:rsidRDefault="000861F1" w:rsidP="000861F1">
      <w:pPr>
        <w:widowControl/>
        <w:autoSpaceDE w:val="0"/>
        <w:autoSpaceDN w:val="0"/>
        <w:adjustRightInd w:val="0"/>
        <w:spacing w:line="380" w:lineRule="exact"/>
        <w:rPr>
          <w:rFonts w:ascii="標楷體" w:eastAsia="標楷體"/>
          <w:color w:val="000000"/>
          <w:kern w:val="0"/>
          <w:szCs w:val="24"/>
        </w:rPr>
      </w:pPr>
      <w:r w:rsidRPr="000861F1">
        <w:rPr>
          <w:rFonts w:ascii="標楷體" w:eastAsia="標楷體" w:hint="eastAsia"/>
          <w:color w:val="000000"/>
          <w:kern w:val="0"/>
          <w:sz w:val="32"/>
          <w:szCs w:val="32"/>
        </w:rPr>
        <w:t>三、分類標準：依「社會秩序維護法」分則各章所列違反行為及處罰種類為分類標準。</w:t>
      </w:r>
    </w:p>
    <w:p w:rsidR="000861F1" w:rsidRPr="000861F1" w:rsidRDefault="000861F1" w:rsidP="000861F1">
      <w:pPr>
        <w:widowControl/>
        <w:autoSpaceDE w:val="0"/>
        <w:autoSpaceDN w:val="0"/>
        <w:adjustRightInd w:val="0"/>
        <w:spacing w:line="380" w:lineRule="exact"/>
        <w:rPr>
          <w:rFonts w:ascii="標楷體" w:eastAsia="標楷體"/>
          <w:color w:val="000000"/>
          <w:kern w:val="0"/>
          <w:sz w:val="32"/>
          <w:szCs w:val="32"/>
        </w:rPr>
      </w:pPr>
      <w:r w:rsidRPr="000861F1">
        <w:rPr>
          <w:rFonts w:ascii="標楷體" w:eastAsia="標楷體" w:hint="eastAsia"/>
          <w:color w:val="000000"/>
          <w:kern w:val="0"/>
          <w:sz w:val="32"/>
          <w:szCs w:val="32"/>
        </w:rPr>
        <w:t>四、統計科目定義(或說明)：</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Cs w:val="24"/>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一</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本表統計科目係依社會秩序維護法有關規定訂定。</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二</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法院裁定案件：係指依社會秩序維護法第四十五條第一項規定移送法院簡易庭裁定之案件。</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三</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警察機關處分案件：係指依社會秩序維護法第四十三條第一項規定由警察機關處分之案件。</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四</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妨害安寧秩序：係指違反社會秩序維護法</w:t>
      </w:r>
      <w:proofErr w:type="gramStart"/>
      <w:r w:rsidRPr="000861F1">
        <w:rPr>
          <w:rFonts w:ascii="標楷體" w:eastAsia="標楷體" w:hint="eastAsia"/>
          <w:color w:val="000000"/>
          <w:kern w:val="0"/>
          <w:sz w:val="32"/>
          <w:szCs w:val="32"/>
        </w:rPr>
        <w:t>分則篇第一</w:t>
      </w:r>
      <w:proofErr w:type="gramEnd"/>
      <w:r w:rsidRPr="000861F1">
        <w:rPr>
          <w:rFonts w:ascii="標楷體" w:eastAsia="標楷體" w:hint="eastAsia"/>
          <w:color w:val="000000"/>
          <w:kern w:val="0"/>
          <w:sz w:val="32"/>
          <w:szCs w:val="32"/>
        </w:rPr>
        <w:t>章妨害安寧秩序之行為。</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五</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妨害善良風俗：係指違反社會秩序維護法</w:t>
      </w:r>
      <w:proofErr w:type="gramStart"/>
      <w:r w:rsidRPr="000861F1">
        <w:rPr>
          <w:rFonts w:ascii="標楷體" w:eastAsia="標楷體" w:hint="eastAsia"/>
          <w:color w:val="000000"/>
          <w:kern w:val="0"/>
          <w:sz w:val="32"/>
          <w:szCs w:val="32"/>
        </w:rPr>
        <w:t>分則篇第二</w:t>
      </w:r>
      <w:proofErr w:type="gramEnd"/>
      <w:r w:rsidRPr="000861F1">
        <w:rPr>
          <w:rFonts w:ascii="標楷體" w:eastAsia="標楷體" w:hint="eastAsia"/>
          <w:color w:val="000000"/>
          <w:kern w:val="0"/>
          <w:sz w:val="32"/>
          <w:szCs w:val="32"/>
        </w:rPr>
        <w:t>章妨害善良風俗之行為。</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六</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妨害公務：係指違反社會秩序維護法</w:t>
      </w:r>
      <w:proofErr w:type="gramStart"/>
      <w:r w:rsidRPr="000861F1">
        <w:rPr>
          <w:rFonts w:ascii="標楷體" w:eastAsia="標楷體" w:hint="eastAsia"/>
          <w:color w:val="000000"/>
          <w:kern w:val="0"/>
          <w:sz w:val="32"/>
          <w:szCs w:val="32"/>
        </w:rPr>
        <w:t>分則篇第三</w:t>
      </w:r>
      <w:proofErr w:type="gramEnd"/>
      <w:r w:rsidRPr="000861F1">
        <w:rPr>
          <w:rFonts w:ascii="標楷體" w:eastAsia="標楷體" w:hint="eastAsia"/>
          <w:color w:val="000000"/>
          <w:kern w:val="0"/>
          <w:sz w:val="32"/>
          <w:szCs w:val="32"/>
        </w:rPr>
        <w:t>章妨害公務之行為。</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七</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妨害他人身體財產：係指違反社會秩序維護法</w:t>
      </w:r>
      <w:proofErr w:type="gramStart"/>
      <w:r w:rsidRPr="000861F1">
        <w:rPr>
          <w:rFonts w:ascii="標楷體" w:eastAsia="標楷體" w:hint="eastAsia"/>
          <w:color w:val="000000"/>
          <w:kern w:val="0"/>
          <w:sz w:val="32"/>
          <w:szCs w:val="32"/>
        </w:rPr>
        <w:t>分則</w:t>
      </w:r>
      <w:r w:rsidRPr="000861F1">
        <w:rPr>
          <w:rFonts w:ascii="標楷體" w:eastAsia="標楷體" w:hint="eastAsia"/>
          <w:color w:val="FF0000"/>
          <w:kern w:val="0"/>
          <w:sz w:val="32"/>
          <w:szCs w:val="32"/>
        </w:rPr>
        <w:t>篇</w:t>
      </w:r>
      <w:r w:rsidRPr="000861F1">
        <w:rPr>
          <w:rFonts w:ascii="標楷體" w:eastAsia="標楷體" w:hint="eastAsia"/>
          <w:color w:val="000000"/>
          <w:kern w:val="0"/>
          <w:sz w:val="32"/>
          <w:szCs w:val="32"/>
        </w:rPr>
        <w:t>第四</w:t>
      </w:r>
      <w:proofErr w:type="gramEnd"/>
      <w:r w:rsidRPr="000861F1">
        <w:rPr>
          <w:rFonts w:ascii="標楷體" w:eastAsia="標楷體" w:hint="eastAsia"/>
          <w:color w:val="000000"/>
          <w:kern w:val="0"/>
          <w:sz w:val="32"/>
          <w:szCs w:val="32"/>
        </w:rPr>
        <w:t>章妨害他人身體財產之行為。</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八</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拘留：即將被處罰人拘留於拘留所內，使其暫失自由。</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九</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罰鍰：即令被處罰人繳納一定之金額，以為懲罰。</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十</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申誡：即對被處罰以書面或言詞予以申斥告誡，期其悔悟不再違反。</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十一</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勒令歇業：即令</w:t>
      </w:r>
      <w:proofErr w:type="gramStart"/>
      <w:r w:rsidRPr="000861F1">
        <w:rPr>
          <w:rFonts w:ascii="標楷體" w:eastAsia="標楷體" w:hint="eastAsia"/>
          <w:color w:val="000000"/>
          <w:kern w:val="0"/>
          <w:sz w:val="32"/>
          <w:szCs w:val="32"/>
        </w:rPr>
        <w:t>永久歇閉其</w:t>
      </w:r>
      <w:proofErr w:type="gramEnd"/>
      <w:r w:rsidRPr="000861F1">
        <w:rPr>
          <w:rFonts w:ascii="標楷體" w:eastAsia="標楷體" w:hint="eastAsia"/>
          <w:color w:val="000000"/>
          <w:kern w:val="0"/>
          <w:sz w:val="32"/>
          <w:szCs w:val="32"/>
        </w:rPr>
        <w:t>營業，長期不准許其再經營。</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十二</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停止營業：即於一定之期限內，暫時不許其繼續營業。</w:t>
      </w:r>
    </w:p>
    <w:p w:rsidR="000861F1" w:rsidRPr="000861F1" w:rsidRDefault="000861F1" w:rsidP="000861F1">
      <w:pPr>
        <w:widowControl/>
        <w:autoSpaceDE w:val="0"/>
        <w:autoSpaceDN w:val="0"/>
        <w:adjustRightInd w:val="0"/>
        <w:spacing w:line="380" w:lineRule="exact"/>
        <w:ind w:firstLineChars="91" w:firstLine="291"/>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十三</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沒入：即將對於違反社會秩序行為有密切關係之特定物，剝奪被處罰人之所有權或非法取得權，以之充公收歸公庫。</w:t>
      </w:r>
      <w:r w:rsidRPr="000861F1">
        <w:rPr>
          <w:rFonts w:ascii="標楷體" w:eastAsia="標楷體"/>
          <w:color w:val="000000"/>
          <w:kern w:val="0"/>
          <w:sz w:val="32"/>
          <w:szCs w:val="32"/>
        </w:rPr>
        <w:t xml:space="preserve"> </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lastRenderedPageBreak/>
        <w:t>(</w:t>
      </w:r>
      <w:r w:rsidRPr="000861F1">
        <w:rPr>
          <w:rFonts w:ascii="標楷體" w:eastAsia="標楷體" w:hint="eastAsia"/>
          <w:color w:val="000000"/>
          <w:kern w:val="0"/>
          <w:sz w:val="32"/>
          <w:szCs w:val="32"/>
        </w:rPr>
        <w:t>十四</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免除其處罰：係指違反社會秩序行為已成立，但在一定原因下，由法院裁定或警察機關處分免除其處罰。</w:t>
      </w:r>
    </w:p>
    <w:p w:rsidR="000861F1" w:rsidRPr="000861F1" w:rsidRDefault="000861F1" w:rsidP="000861F1">
      <w:pPr>
        <w:widowControl/>
        <w:autoSpaceDE w:val="0"/>
        <w:autoSpaceDN w:val="0"/>
        <w:adjustRightInd w:val="0"/>
        <w:spacing w:line="380" w:lineRule="exact"/>
        <w:ind w:left="4464" w:hanging="4142"/>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十五</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送交教養機構收容、習藝：即對於暗娼或</w:t>
      </w:r>
      <w:proofErr w:type="gramStart"/>
      <w:r w:rsidRPr="000861F1">
        <w:rPr>
          <w:rFonts w:ascii="標楷體" w:eastAsia="標楷體" w:hint="eastAsia"/>
          <w:color w:val="000000"/>
          <w:kern w:val="0"/>
          <w:sz w:val="32"/>
          <w:szCs w:val="32"/>
        </w:rPr>
        <w:t>代人媒合</w:t>
      </w:r>
      <w:proofErr w:type="gramEnd"/>
      <w:r w:rsidRPr="000861F1">
        <w:rPr>
          <w:rFonts w:ascii="標楷體" w:eastAsia="標楷體" w:hint="eastAsia"/>
          <w:color w:val="000000"/>
          <w:kern w:val="0"/>
          <w:sz w:val="32"/>
          <w:szCs w:val="32"/>
        </w:rPr>
        <w:t>之屢次違反者，強制送交教養機構收容、習藝，避免其重操舊業。</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十六</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違反社會秩序維護法案件處分或裁定後，不論已執行或未執行均根據處分書或裁定書所載之事實統計之。</w:t>
      </w:r>
    </w:p>
    <w:p w:rsidR="000861F1" w:rsidRPr="000861F1" w:rsidRDefault="000861F1" w:rsidP="000861F1">
      <w:pPr>
        <w:widowControl/>
        <w:autoSpaceDE w:val="0"/>
        <w:autoSpaceDN w:val="0"/>
        <w:adjustRightInd w:val="0"/>
        <w:spacing w:line="380" w:lineRule="exact"/>
        <w:ind w:leftChars="154" w:left="1378" w:hangingChars="315" w:hanging="1008"/>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十七</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「處罰總數」包括「拘留數」、「罰鍰數」、「申誡數」、「單獨裁處勒令歇業數」、「單獨裁處停止營業數」、「單獨宣告沒入數」、「免除其處罰」另</w:t>
      </w:r>
      <w:proofErr w:type="gramStart"/>
      <w:r w:rsidRPr="000861F1">
        <w:rPr>
          <w:rFonts w:ascii="標楷體" w:eastAsia="標楷體" w:hint="eastAsia"/>
          <w:color w:val="000000"/>
          <w:kern w:val="0"/>
          <w:sz w:val="32"/>
          <w:szCs w:val="32"/>
        </w:rPr>
        <w:t>併</w:t>
      </w:r>
      <w:proofErr w:type="gramEnd"/>
      <w:r w:rsidRPr="000861F1">
        <w:rPr>
          <w:rFonts w:ascii="標楷體" w:eastAsia="標楷體" w:hint="eastAsia"/>
          <w:color w:val="000000"/>
          <w:kern w:val="0"/>
          <w:sz w:val="32"/>
          <w:szCs w:val="32"/>
        </w:rPr>
        <w:t>處或</w:t>
      </w:r>
      <w:proofErr w:type="gramStart"/>
      <w:r w:rsidRPr="000861F1">
        <w:rPr>
          <w:rFonts w:ascii="標楷體" w:eastAsia="標楷體" w:hint="eastAsia"/>
          <w:color w:val="000000"/>
          <w:kern w:val="0"/>
          <w:sz w:val="32"/>
          <w:szCs w:val="32"/>
        </w:rPr>
        <w:t>併</w:t>
      </w:r>
      <w:proofErr w:type="gramEnd"/>
      <w:r w:rsidRPr="000861F1">
        <w:rPr>
          <w:rFonts w:ascii="標楷體" w:eastAsia="標楷體" w:hint="eastAsia"/>
          <w:color w:val="000000"/>
          <w:kern w:val="0"/>
          <w:sz w:val="32"/>
          <w:szCs w:val="32"/>
        </w:rPr>
        <w:t>宣告</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如</w:t>
      </w:r>
      <w:proofErr w:type="gramStart"/>
      <w:r w:rsidRPr="000861F1">
        <w:rPr>
          <w:rFonts w:ascii="標楷體" w:eastAsia="標楷體" w:hint="eastAsia"/>
          <w:color w:val="000000"/>
          <w:kern w:val="0"/>
          <w:sz w:val="32"/>
          <w:szCs w:val="32"/>
        </w:rPr>
        <w:t>併</w:t>
      </w:r>
      <w:proofErr w:type="gramEnd"/>
      <w:r w:rsidRPr="000861F1">
        <w:rPr>
          <w:rFonts w:ascii="標楷體" w:eastAsia="標楷體" w:hint="eastAsia"/>
          <w:color w:val="000000"/>
          <w:kern w:val="0"/>
          <w:sz w:val="32"/>
          <w:szCs w:val="32"/>
        </w:rPr>
        <w:t>處勒令歇業、</w:t>
      </w:r>
      <w:bookmarkStart w:id="0" w:name="_GoBack"/>
      <w:bookmarkEnd w:id="0"/>
      <w:r w:rsidRPr="000861F1">
        <w:rPr>
          <w:rFonts w:ascii="標楷體" w:eastAsia="標楷體" w:hint="eastAsia"/>
          <w:color w:val="000000"/>
          <w:kern w:val="0"/>
          <w:sz w:val="32"/>
          <w:szCs w:val="32"/>
        </w:rPr>
        <w:t>停止營業、</w:t>
      </w:r>
      <w:proofErr w:type="gramStart"/>
      <w:r w:rsidRPr="000861F1">
        <w:rPr>
          <w:rFonts w:ascii="標楷體" w:eastAsia="標楷體" w:hint="eastAsia"/>
          <w:color w:val="000000"/>
          <w:kern w:val="0"/>
          <w:sz w:val="32"/>
          <w:szCs w:val="32"/>
        </w:rPr>
        <w:t>併</w:t>
      </w:r>
      <w:proofErr w:type="gramEnd"/>
      <w:r w:rsidRPr="000861F1">
        <w:rPr>
          <w:rFonts w:ascii="標楷體" w:eastAsia="標楷體" w:hint="eastAsia"/>
          <w:color w:val="000000"/>
          <w:kern w:val="0"/>
          <w:sz w:val="32"/>
          <w:szCs w:val="32"/>
        </w:rPr>
        <w:t>宣告沒入、送交教養機構收容、習藝</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不予列入處罰總數計算，以免重複。</w:t>
      </w:r>
    </w:p>
    <w:p w:rsidR="000861F1" w:rsidRPr="000861F1" w:rsidRDefault="000861F1" w:rsidP="000861F1">
      <w:pPr>
        <w:widowControl/>
        <w:autoSpaceDE w:val="0"/>
        <w:autoSpaceDN w:val="0"/>
        <w:adjustRightInd w:val="0"/>
        <w:spacing w:line="380" w:lineRule="exact"/>
        <w:ind w:firstLineChars="96" w:firstLine="307"/>
        <w:rPr>
          <w:rFonts w:ascii="標楷體" w:eastAsia="標楷體"/>
          <w:color w:val="000000"/>
          <w:kern w:val="0"/>
          <w:sz w:val="32"/>
          <w:szCs w:val="32"/>
        </w:rPr>
      </w:pP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十八</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凡有管轄權之專業警察機關亦應比照統計。</w:t>
      </w:r>
    </w:p>
    <w:p w:rsidR="000861F1" w:rsidRPr="000861F1" w:rsidRDefault="000861F1" w:rsidP="000861F1">
      <w:pPr>
        <w:widowControl/>
        <w:autoSpaceDE w:val="0"/>
        <w:autoSpaceDN w:val="0"/>
        <w:adjustRightInd w:val="0"/>
        <w:spacing w:line="380" w:lineRule="exact"/>
        <w:ind w:left="4466" w:hanging="4466"/>
        <w:rPr>
          <w:rFonts w:ascii="標楷體" w:eastAsia="標楷體"/>
          <w:color w:val="000000"/>
          <w:kern w:val="0"/>
          <w:sz w:val="32"/>
          <w:szCs w:val="32"/>
        </w:rPr>
      </w:pPr>
      <w:r w:rsidRPr="000861F1">
        <w:rPr>
          <w:rFonts w:ascii="標楷體" w:eastAsia="標楷體" w:hint="eastAsia"/>
          <w:color w:val="000000"/>
          <w:kern w:val="0"/>
          <w:sz w:val="32"/>
          <w:szCs w:val="32"/>
        </w:rPr>
        <w:t>五、資料蒐集方法及編製程序：各警察分局於每月終了，根據社會秩序維護法案件處分書、裁定書、登記簿資料分類整理統計，送由各</w:t>
      </w:r>
      <w:proofErr w:type="gramStart"/>
      <w:r w:rsidRPr="000861F1">
        <w:rPr>
          <w:rFonts w:ascii="標楷體" w:eastAsia="標楷體" w:hint="eastAsia"/>
          <w:color w:val="000000"/>
          <w:kern w:val="0"/>
          <w:sz w:val="32"/>
          <w:szCs w:val="32"/>
        </w:rPr>
        <w:t>該管市</w:t>
      </w:r>
      <w:proofErr w:type="gramEnd"/>
      <w:r w:rsidRPr="000861F1">
        <w:rPr>
          <w:rFonts w:ascii="標楷體" w:eastAsia="標楷體" w:hint="eastAsia"/>
          <w:color w:val="000000"/>
          <w:kern w:val="0"/>
          <w:sz w:val="32"/>
          <w:szCs w:val="32"/>
        </w:rPr>
        <w:t>、縣</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市</w:t>
      </w:r>
      <w:r w:rsidRPr="000861F1">
        <w:rPr>
          <w:rFonts w:ascii="標楷體" w:eastAsia="標楷體"/>
          <w:color w:val="000000"/>
          <w:kern w:val="0"/>
          <w:sz w:val="32"/>
          <w:szCs w:val="32"/>
        </w:rPr>
        <w:t>)</w:t>
      </w:r>
      <w:r w:rsidRPr="000861F1">
        <w:rPr>
          <w:rFonts w:ascii="標楷體" w:eastAsia="標楷體" w:hint="eastAsia"/>
          <w:color w:val="000000"/>
          <w:kern w:val="0"/>
          <w:sz w:val="32"/>
          <w:szCs w:val="32"/>
        </w:rPr>
        <w:t>警察局彙編及專業警察機關(指保安警察第二總隊、航空警察局、國道公路警察局、臺灣保安警察總隊、鐵路警察局、基隆、</w:t>
      </w:r>
      <w:proofErr w:type="gramStart"/>
      <w:r w:rsidRPr="000861F1">
        <w:rPr>
          <w:rFonts w:ascii="標楷體" w:eastAsia="標楷體" w:hint="eastAsia"/>
          <w:color w:val="000000"/>
          <w:kern w:val="0"/>
          <w:sz w:val="32"/>
          <w:szCs w:val="32"/>
        </w:rPr>
        <w:t>臺</w:t>
      </w:r>
      <w:proofErr w:type="gramEnd"/>
      <w:r w:rsidRPr="000861F1">
        <w:rPr>
          <w:rFonts w:ascii="標楷體" w:eastAsia="標楷體" w:hint="eastAsia"/>
          <w:color w:val="000000"/>
          <w:kern w:val="0"/>
          <w:sz w:val="32"/>
          <w:szCs w:val="32"/>
        </w:rPr>
        <w:t>中、高雄、花蓮港務警察局)根據社會秩序維護法案件處分書、裁定書、登記簿資料分類整理統計。</w:t>
      </w:r>
    </w:p>
    <w:p w:rsidR="00520482" w:rsidRPr="00F96B28" w:rsidRDefault="000861F1" w:rsidP="0098714E">
      <w:pPr>
        <w:spacing w:line="400" w:lineRule="exact"/>
      </w:pPr>
      <w:r w:rsidRPr="000861F1">
        <w:rPr>
          <w:rFonts w:ascii="標楷體" w:eastAsia="標楷體" w:hint="eastAsia"/>
          <w:color w:val="000000"/>
          <w:sz w:val="32"/>
          <w:szCs w:val="32"/>
        </w:rPr>
        <w:t>六、編送對象：</w:t>
      </w:r>
      <w:proofErr w:type="gramStart"/>
      <w:r w:rsidRPr="000861F1">
        <w:rPr>
          <w:rFonts w:ascii="標楷體" w:eastAsia="標楷體" w:hint="eastAsia"/>
          <w:color w:val="000000"/>
          <w:sz w:val="32"/>
          <w:szCs w:val="32"/>
        </w:rPr>
        <w:t>本表編製</w:t>
      </w:r>
      <w:proofErr w:type="gramEnd"/>
      <w:r w:rsidRPr="000861F1">
        <w:rPr>
          <w:rFonts w:ascii="標楷體" w:eastAsia="標楷體" w:hint="eastAsia"/>
          <w:color w:val="000000"/>
          <w:sz w:val="32"/>
          <w:szCs w:val="32"/>
        </w:rPr>
        <w:t>一式</w:t>
      </w:r>
      <w:r w:rsidR="00076159">
        <w:rPr>
          <w:rFonts w:ascii="標楷體" w:eastAsia="標楷體" w:hint="eastAsia"/>
          <w:color w:val="000000"/>
          <w:sz w:val="32"/>
          <w:szCs w:val="32"/>
        </w:rPr>
        <w:t>三</w:t>
      </w:r>
      <w:r w:rsidRPr="000861F1">
        <w:rPr>
          <w:rFonts w:ascii="標楷體" w:eastAsia="標楷體" w:hint="eastAsia"/>
          <w:color w:val="000000"/>
          <w:sz w:val="32"/>
          <w:szCs w:val="32"/>
        </w:rPr>
        <w:t>份，先送會計室(統計室)會核，並經機關長官核章後</w:t>
      </w:r>
      <w:r w:rsidR="00CB5655" w:rsidRPr="00CB5655">
        <w:rPr>
          <w:rFonts w:ascii="標楷體" w:eastAsia="標楷體" w:hint="eastAsia"/>
          <w:color w:val="000000"/>
          <w:sz w:val="32"/>
          <w:szCs w:val="32"/>
        </w:rPr>
        <w:t>，一份送市政府主計處</w:t>
      </w:r>
      <w:r w:rsidRPr="000861F1">
        <w:rPr>
          <w:rFonts w:ascii="標楷體" w:eastAsia="標楷體" w:hint="eastAsia"/>
          <w:color w:val="000000"/>
          <w:sz w:val="32"/>
          <w:szCs w:val="32"/>
        </w:rPr>
        <w:t>，一份送會計室(統計室)，一份</w:t>
      </w:r>
      <w:proofErr w:type="gramStart"/>
      <w:r w:rsidRPr="000861F1">
        <w:rPr>
          <w:rFonts w:ascii="標楷體" w:eastAsia="標楷體" w:hint="eastAsia"/>
          <w:color w:val="000000"/>
          <w:sz w:val="32"/>
          <w:szCs w:val="32"/>
        </w:rPr>
        <w:t>自存外</w:t>
      </w:r>
      <w:proofErr w:type="gramEnd"/>
      <w:r w:rsidRPr="000861F1">
        <w:rPr>
          <w:rFonts w:ascii="標楷體" w:eastAsia="標楷體" w:hint="eastAsia"/>
          <w:color w:val="000000"/>
          <w:sz w:val="32"/>
          <w:szCs w:val="32"/>
        </w:rPr>
        <w:t>，本表應於規定期限內由</w:t>
      </w:r>
      <w:proofErr w:type="gramStart"/>
      <w:r w:rsidRPr="000861F1">
        <w:rPr>
          <w:rFonts w:ascii="標楷體" w:eastAsia="標楷體" w:hint="eastAsia"/>
          <w:color w:val="000000"/>
          <w:sz w:val="32"/>
          <w:szCs w:val="32"/>
        </w:rPr>
        <w:t>網際網路線上傳送</w:t>
      </w:r>
      <w:proofErr w:type="gramEnd"/>
      <w:r w:rsidRPr="000861F1">
        <w:rPr>
          <w:rFonts w:ascii="標楷體" w:eastAsia="標楷體" w:hint="eastAsia"/>
          <w:color w:val="000000"/>
          <w:sz w:val="32"/>
          <w:szCs w:val="32"/>
        </w:rPr>
        <w:t>至內政部警政署警政統計資料庫。</w:t>
      </w:r>
    </w:p>
    <w:sectPr w:rsidR="00520482" w:rsidRPr="00F96B28" w:rsidSect="00431ED4">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2DE" w:rsidRDefault="002502DE" w:rsidP="00076159">
      <w:r>
        <w:separator/>
      </w:r>
    </w:p>
  </w:endnote>
  <w:endnote w:type="continuationSeparator" w:id="0">
    <w:p w:rsidR="002502DE" w:rsidRDefault="002502DE" w:rsidP="0007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2DE" w:rsidRDefault="002502DE" w:rsidP="00076159">
      <w:r>
        <w:separator/>
      </w:r>
    </w:p>
  </w:footnote>
  <w:footnote w:type="continuationSeparator" w:id="0">
    <w:p w:rsidR="002502DE" w:rsidRDefault="002502DE" w:rsidP="00076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550D6"/>
    <w:multiLevelType w:val="hybridMultilevel"/>
    <w:tmpl w:val="226029FA"/>
    <w:lvl w:ilvl="0" w:tplc="110414D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D4"/>
    <w:rsid w:val="00076159"/>
    <w:rsid w:val="000861F1"/>
    <w:rsid w:val="00122958"/>
    <w:rsid w:val="002502DE"/>
    <w:rsid w:val="00431ED4"/>
    <w:rsid w:val="004A2338"/>
    <w:rsid w:val="00520482"/>
    <w:rsid w:val="005210BF"/>
    <w:rsid w:val="00911686"/>
    <w:rsid w:val="0098714E"/>
    <w:rsid w:val="00C97F63"/>
    <w:rsid w:val="00CB5655"/>
    <w:rsid w:val="00F96B28"/>
    <w:rsid w:val="00FB6C1C"/>
    <w:rsid w:val="00FE59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5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basedOn w:val="a"/>
    <w:rsid w:val="00431ED4"/>
    <w:pPr>
      <w:autoSpaceDE w:val="0"/>
      <w:autoSpaceDN w:val="0"/>
      <w:adjustRightInd w:val="0"/>
    </w:pPr>
    <w:rPr>
      <w:rFonts w:ascii="華康中楷體" w:eastAsia="華康中楷體"/>
      <w:kern w:val="0"/>
      <w:szCs w:val="24"/>
    </w:rPr>
  </w:style>
  <w:style w:type="paragraph" w:styleId="a3">
    <w:name w:val="Body Text"/>
    <w:basedOn w:val="a"/>
    <w:link w:val="a4"/>
    <w:rsid w:val="00122958"/>
    <w:pPr>
      <w:jc w:val="both"/>
    </w:pPr>
    <w:rPr>
      <w:rFonts w:ascii="標楷體" w:eastAsia="標楷體"/>
      <w:sz w:val="28"/>
    </w:rPr>
  </w:style>
  <w:style w:type="character" w:customStyle="1" w:styleId="a4">
    <w:name w:val="本文 字元"/>
    <w:basedOn w:val="a0"/>
    <w:link w:val="a3"/>
    <w:rsid w:val="00122958"/>
    <w:rPr>
      <w:rFonts w:ascii="標楷體" w:eastAsia="標楷體" w:hAnsi="Times New Roman" w:cs="Times New Roman"/>
      <w:sz w:val="28"/>
      <w:szCs w:val="20"/>
    </w:rPr>
  </w:style>
  <w:style w:type="paragraph" w:styleId="a5">
    <w:name w:val="Body Text Indent"/>
    <w:basedOn w:val="a"/>
    <w:link w:val="a6"/>
    <w:uiPriority w:val="99"/>
    <w:semiHidden/>
    <w:unhideWhenUsed/>
    <w:rsid w:val="00F96B28"/>
    <w:pPr>
      <w:spacing w:after="120"/>
      <w:ind w:leftChars="200" w:left="480"/>
    </w:pPr>
  </w:style>
  <w:style w:type="character" w:customStyle="1" w:styleId="a6">
    <w:name w:val="本文縮排 字元"/>
    <w:basedOn w:val="a0"/>
    <w:link w:val="a5"/>
    <w:uiPriority w:val="99"/>
    <w:semiHidden/>
    <w:rsid w:val="00F96B28"/>
    <w:rPr>
      <w:rFonts w:ascii="Times New Roman" w:eastAsia="新細明體" w:hAnsi="Times New Roman" w:cs="Times New Roman"/>
      <w:szCs w:val="20"/>
    </w:rPr>
  </w:style>
  <w:style w:type="paragraph" w:styleId="a7">
    <w:name w:val="header"/>
    <w:basedOn w:val="a"/>
    <w:link w:val="a8"/>
    <w:uiPriority w:val="99"/>
    <w:unhideWhenUsed/>
    <w:rsid w:val="00076159"/>
    <w:pPr>
      <w:tabs>
        <w:tab w:val="center" w:pos="4153"/>
        <w:tab w:val="right" w:pos="8306"/>
      </w:tabs>
      <w:snapToGrid w:val="0"/>
    </w:pPr>
    <w:rPr>
      <w:sz w:val="20"/>
    </w:rPr>
  </w:style>
  <w:style w:type="character" w:customStyle="1" w:styleId="a8">
    <w:name w:val="頁首 字元"/>
    <w:basedOn w:val="a0"/>
    <w:link w:val="a7"/>
    <w:uiPriority w:val="99"/>
    <w:rsid w:val="00076159"/>
    <w:rPr>
      <w:rFonts w:ascii="Times New Roman" w:eastAsia="新細明體" w:hAnsi="Times New Roman" w:cs="Times New Roman"/>
      <w:sz w:val="20"/>
      <w:szCs w:val="20"/>
    </w:rPr>
  </w:style>
  <w:style w:type="paragraph" w:styleId="a9">
    <w:name w:val="footer"/>
    <w:basedOn w:val="a"/>
    <w:link w:val="aa"/>
    <w:uiPriority w:val="99"/>
    <w:unhideWhenUsed/>
    <w:rsid w:val="00076159"/>
    <w:pPr>
      <w:tabs>
        <w:tab w:val="center" w:pos="4153"/>
        <w:tab w:val="right" w:pos="8306"/>
      </w:tabs>
      <w:snapToGrid w:val="0"/>
    </w:pPr>
    <w:rPr>
      <w:sz w:val="20"/>
    </w:rPr>
  </w:style>
  <w:style w:type="character" w:customStyle="1" w:styleId="aa">
    <w:name w:val="頁尾 字元"/>
    <w:basedOn w:val="a0"/>
    <w:link w:val="a9"/>
    <w:uiPriority w:val="99"/>
    <w:rsid w:val="0007615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5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basedOn w:val="a"/>
    <w:rsid w:val="00431ED4"/>
    <w:pPr>
      <w:autoSpaceDE w:val="0"/>
      <w:autoSpaceDN w:val="0"/>
      <w:adjustRightInd w:val="0"/>
    </w:pPr>
    <w:rPr>
      <w:rFonts w:ascii="華康中楷體" w:eastAsia="華康中楷體"/>
      <w:kern w:val="0"/>
      <w:szCs w:val="24"/>
    </w:rPr>
  </w:style>
  <w:style w:type="paragraph" w:styleId="a3">
    <w:name w:val="Body Text"/>
    <w:basedOn w:val="a"/>
    <w:link w:val="a4"/>
    <w:rsid w:val="00122958"/>
    <w:pPr>
      <w:jc w:val="both"/>
    </w:pPr>
    <w:rPr>
      <w:rFonts w:ascii="標楷體" w:eastAsia="標楷體"/>
      <w:sz w:val="28"/>
    </w:rPr>
  </w:style>
  <w:style w:type="character" w:customStyle="1" w:styleId="a4">
    <w:name w:val="本文 字元"/>
    <w:basedOn w:val="a0"/>
    <w:link w:val="a3"/>
    <w:rsid w:val="00122958"/>
    <w:rPr>
      <w:rFonts w:ascii="標楷體" w:eastAsia="標楷體" w:hAnsi="Times New Roman" w:cs="Times New Roman"/>
      <w:sz w:val="28"/>
      <w:szCs w:val="20"/>
    </w:rPr>
  </w:style>
  <w:style w:type="paragraph" w:styleId="a5">
    <w:name w:val="Body Text Indent"/>
    <w:basedOn w:val="a"/>
    <w:link w:val="a6"/>
    <w:uiPriority w:val="99"/>
    <w:semiHidden/>
    <w:unhideWhenUsed/>
    <w:rsid w:val="00F96B28"/>
    <w:pPr>
      <w:spacing w:after="120"/>
      <w:ind w:leftChars="200" w:left="480"/>
    </w:pPr>
  </w:style>
  <w:style w:type="character" w:customStyle="1" w:styleId="a6">
    <w:name w:val="本文縮排 字元"/>
    <w:basedOn w:val="a0"/>
    <w:link w:val="a5"/>
    <w:uiPriority w:val="99"/>
    <w:semiHidden/>
    <w:rsid w:val="00F96B28"/>
    <w:rPr>
      <w:rFonts w:ascii="Times New Roman" w:eastAsia="新細明體" w:hAnsi="Times New Roman" w:cs="Times New Roman"/>
      <w:szCs w:val="20"/>
    </w:rPr>
  </w:style>
  <w:style w:type="paragraph" w:styleId="a7">
    <w:name w:val="header"/>
    <w:basedOn w:val="a"/>
    <w:link w:val="a8"/>
    <w:uiPriority w:val="99"/>
    <w:unhideWhenUsed/>
    <w:rsid w:val="00076159"/>
    <w:pPr>
      <w:tabs>
        <w:tab w:val="center" w:pos="4153"/>
        <w:tab w:val="right" w:pos="8306"/>
      </w:tabs>
      <w:snapToGrid w:val="0"/>
    </w:pPr>
    <w:rPr>
      <w:sz w:val="20"/>
    </w:rPr>
  </w:style>
  <w:style w:type="character" w:customStyle="1" w:styleId="a8">
    <w:name w:val="頁首 字元"/>
    <w:basedOn w:val="a0"/>
    <w:link w:val="a7"/>
    <w:uiPriority w:val="99"/>
    <w:rsid w:val="00076159"/>
    <w:rPr>
      <w:rFonts w:ascii="Times New Roman" w:eastAsia="新細明體" w:hAnsi="Times New Roman" w:cs="Times New Roman"/>
      <w:sz w:val="20"/>
      <w:szCs w:val="20"/>
    </w:rPr>
  </w:style>
  <w:style w:type="paragraph" w:styleId="a9">
    <w:name w:val="footer"/>
    <w:basedOn w:val="a"/>
    <w:link w:val="aa"/>
    <w:uiPriority w:val="99"/>
    <w:unhideWhenUsed/>
    <w:rsid w:val="00076159"/>
    <w:pPr>
      <w:tabs>
        <w:tab w:val="center" w:pos="4153"/>
        <w:tab w:val="right" w:pos="8306"/>
      </w:tabs>
      <w:snapToGrid w:val="0"/>
    </w:pPr>
    <w:rPr>
      <w:sz w:val="20"/>
    </w:rPr>
  </w:style>
  <w:style w:type="character" w:customStyle="1" w:styleId="aa">
    <w:name w:val="頁尾 字元"/>
    <w:basedOn w:val="a0"/>
    <w:link w:val="a9"/>
    <w:uiPriority w:val="99"/>
    <w:rsid w:val="0007615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2012-10-18T08:00:00Z</dcterms:created>
  <dcterms:modified xsi:type="dcterms:W3CDTF">2013-07-19T06:52:00Z</dcterms:modified>
</cp:coreProperties>
</file>